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17B" w:rsidRDefault="00C05592">
      <w:hyperlink r:id="rId5" w:history="1">
        <w:r>
          <w:rPr>
            <w:rStyle w:val="a3"/>
          </w:rPr>
          <w:t>http://www.ua.undp.org/content/ukraine/uk/home/get-involved/UN-RPP-to-announce-business-grants-in-eastern-Ukraine.html?fbclid=IwAR1FSjAWOeadm7n--ObK8_smV--9Ir30cpMbvFY10JPPQXPwRfljRnp46xE</w:t>
        </w:r>
      </w:hyperlink>
    </w:p>
    <w:p w:rsidR="00C05592" w:rsidRDefault="00C05592"/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Програма ООН із відновлення та розбудови миру</w:t>
      </w:r>
      <w:r>
        <w:rPr>
          <w:rFonts w:ascii="Arial" w:hAnsi="Arial" w:cs="Arial"/>
          <w:b/>
          <w:bCs/>
          <w:color w:val="0A0A0A"/>
          <w:spacing w:val="8"/>
        </w:rPr>
        <w:t> </w:t>
      </w:r>
      <w:r>
        <w:rPr>
          <w:rFonts w:ascii="Arial" w:hAnsi="Arial" w:cs="Arial"/>
          <w:color w:val="0A0A0A"/>
          <w:spacing w:val="8"/>
        </w:rPr>
        <w:t>за підтримки Європейського Союзу оголошує конкурс малих бізнес-грантів на відкриття, відновлення та розширення мікро, малих та середніх підприємств на підконтрольних уряду України територіях Луганської та Донецької областей, та в районах Запорізької області уздовж узбережжя Азовського моря.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Метою програми є відновлення та посилення ділової активності, зниження напруги на ринку праці та забезпечення розвитку секторів економіки, які є критично важливими для подальшого економічного розвитку регіону. Загальна сума грантового пулу, який буде розподілено протягом 2019-2020 років складає 2,48 млн євро.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Грантова програма для підтримки мікро, малого та середнього бізнесу впроваджується на сході України з 2015 року задля економічного відновлення областей, що постраждали від конфлікту, підвищенню рівня зайнятості та створенню необхідних джерел доходу для населення. В рамках програми у 2015-2018 роках було підтримано 649 бізнес-проекти та створено понад 3000 робочих місць.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З метою системного та сталого розвитку економіки цільових регіонів, грантова підтримка надаватиметься для реалізації бізнес-проектів в таких секторах: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1.      Виготовлення кераміки;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2.      Текстильна промисловість;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3.      Індустрія гостинності (в т. ч. готельно-ресторанний сектор, індустрія розваг та відпочинку);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4.      Виробництво харчових продуктів;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5.      Зернові та олійні культури;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6.      Молочні продукти та яловичина;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7.      Домашня птиця та яйця.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Додатково можуть бути підтримані грантові заявки, які мають відповідний зв'язок з пріоритетними секторами (наприклад, бізнес-план, спрямований на виробництво пакувальних матеріалів для гончарних виробів). Такі зв'язки повинні бути зазначені у бізнес-планах, поданих на конкурс.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Жінки та чоловіки в рівній мірі заохочуються до подання заявок на цей конкурс.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lastRenderedPageBreak/>
        <w:t>Гранти надаватимуться виключно для створення, відновлення та розширення мікро, малого та середнього бізнесу в межах цільових територій, а саме в підконтрольних Уряду України районах Луганської та Донецької областей та районах Запорізької області вздовж узбережжя Азовського моря (Бердянський, Приморський, Приазовський, Оріхівський, Гуляйпільський, Якимівський, Більмацький, Мелітопольський та Токмацький).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Бізнес-план, поданий на конкурс, повинен </w:t>
      </w:r>
      <w:r>
        <w:rPr>
          <w:rFonts w:ascii="Arial" w:hAnsi="Arial" w:cs="Arial"/>
          <w:color w:val="0A0A0A"/>
          <w:spacing w:val="8"/>
        </w:rPr>
        <w:t>передбачати довгострокові перспективи отримання прибутку,</w:t>
      </w:r>
      <w:r>
        <w:rPr>
          <w:rFonts w:ascii="Arial" w:hAnsi="Arial" w:cs="Arial"/>
          <w:b/>
          <w:bCs/>
          <w:color w:val="0A0A0A"/>
          <w:spacing w:val="8"/>
        </w:rPr>
        <w:t> </w:t>
      </w:r>
      <w:r>
        <w:rPr>
          <w:rFonts w:ascii="Arial" w:hAnsi="Arial" w:cs="Arial"/>
          <w:color w:val="0A0A0A"/>
          <w:spacing w:val="8"/>
        </w:rPr>
        <w:t>містити реалістичні ринкові показники, демонструвати умови для самозайнятості заявниці/заявника та створення додаткових робочих місць, у тому числі для членів її/його сім’ї.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Максимальна сума одного гранту - </w:t>
      </w:r>
      <w:r>
        <w:rPr>
          <w:rFonts w:ascii="Arial" w:hAnsi="Arial" w:cs="Arial"/>
          <w:color w:val="0A0A0A"/>
          <w:spacing w:val="8"/>
        </w:rPr>
        <w:t>до 6,500 євро в гривневому еквіваленті. Підприємці, які отримають грант, мають зробити власний внесок у реалізацію бізнес-плану (у грошовій чи іншій формі, наприклад, безоплатною працею, наданням обладнання, приміщення тощо) у розмірі не менше 25% від вартості проекту.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Грантові кошти мають бути використані відповідно до бізнес-проектів, поданих на конкурс, за наступними напрямами: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закупівля обладнання, необхідного для початку виробничої діяльності;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закупівля інструментів для початку надання послуг;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залучення додаткового персоналу для розширення бізнесу;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оренда офісних приміщень, платформ для надання послуг або виробничих майданчиків;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первісна закупівля сировини для виробництва продукції / надання послуг;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·         витрати на франчайзинг тощо.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Гранти не надаватимуться на реалізацію бізнес-планів, орієнтованих виключно на: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-          торгівлю та дистрибуцію, які не пов'язані ні з одним із пріоритетних ланцюгів вартості;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-          передачу виробничого обладнання, профінансованого за грантові кошти, в оренду третім особам одразу після його придбання.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Гранти надаються виключно повнолітнім, дієздатним та правоздатним громадянам України, що постійно проживають на цільових територіях. Не можуть одночасно претендувати на отримання гранту особи, які перебувають між собою у родинних зв’язках (наприклад, учасником конкурсу є одночасно чоловік та дружина, або батько й донька/син). У такому разі грант може бути надано лише одному члену родини.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lastRenderedPageBreak/>
        <w:t>Грантоотримувачі будуть зобов'язані впровадити свої бізнес-плани протягом 60 днів після отримання коштів, вести підприємницьку діяльність відповідно до параметрів бізнес-плану та законодавства України, та подавати звіти згідно умовам грантових угод. Процес впровадження ретельно контролюватиметься Програмою ООН із відновлення та розбудови миру.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Для участі в конкурсі</w:t>
      </w:r>
      <w:r>
        <w:rPr>
          <w:rFonts w:ascii="Arial" w:hAnsi="Arial" w:cs="Arial"/>
          <w:color w:val="0A0A0A"/>
          <w:spacing w:val="8"/>
        </w:rPr>
        <w:t> бажаючі повинні: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і) заповнити онлайн заявку;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іі)</w:t>
      </w:r>
      <w:r>
        <w:rPr>
          <w:rFonts w:ascii="Arial" w:hAnsi="Arial" w:cs="Arial"/>
          <w:b/>
          <w:bCs/>
          <w:color w:val="0A0A0A"/>
          <w:spacing w:val="8"/>
        </w:rPr>
        <w:t> </w:t>
      </w:r>
      <w:r>
        <w:rPr>
          <w:rFonts w:ascii="Arial" w:hAnsi="Arial" w:cs="Arial"/>
          <w:color w:val="0A0A0A"/>
          <w:spacing w:val="8"/>
        </w:rPr>
        <w:t>надати підтвердження постійного місця проживання (паспорт та/чи довідку ВПО) на територіях Донецької та Луганської областей, що контролюються Урядом України, районів Запорізької та Донецької областей вздовж узбережжя  Азовського моря;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iіі) надати копію довідки про присвоєння ідентифікаційного коду.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color w:val="0A0A0A"/>
          <w:spacing w:val="8"/>
        </w:rPr>
        <w:t>Більш детальна інформація про конкурс та його вимоги, рекомендації з підготовки бізнес-планів та інструкція з подачі онлайн заявки розміщені в </w:t>
      </w:r>
      <w:hyperlink r:id="rId6" w:history="1">
        <w:r>
          <w:rPr>
            <w:rStyle w:val="a3"/>
            <w:rFonts w:ascii="Arial" w:hAnsi="Arial" w:cs="Arial"/>
            <w:color w:val="0265B5"/>
            <w:spacing w:val="8"/>
          </w:rPr>
          <w:t>Посібнику з підготовки та подання заявок на участь у конкурсі.</w:t>
        </w:r>
      </w:hyperlink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Кінцевий термін подання заявок:</w:t>
      </w:r>
      <w:r>
        <w:rPr>
          <w:rFonts w:ascii="Arial" w:hAnsi="Arial" w:cs="Arial"/>
          <w:color w:val="0A0A0A"/>
          <w:spacing w:val="8"/>
        </w:rPr>
        <w:t> до </w:t>
      </w:r>
      <w:r>
        <w:rPr>
          <w:rFonts w:ascii="Arial" w:hAnsi="Arial" w:cs="Arial"/>
          <w:b/>
          <w:bCs/>
          <w:i/>
          <w:iCs/>
          <w:color w:val="0A0A0A"/>
          <w:spacing w:val="8"/>
        </w:rPr>
        <w:t>23:59 (за київським часом) 1 жовтня 2019 року.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Для отримання додаткової інформації </w:t>
      </w:r>
      <w:r>
        <w:rPr>
          <w:rFonts w:ascii="Arial" w:hAnsi="Arial" w:cs="Arial"/>
          <w:color w:val="0A0A0A"/>
          <w:spacing w:val="8"/>
        </w:rPr>
        <w:t>щодо умов конкурсу та процедури подачі заявок запрошуємо звертатися до Творчого центру ТЦК електронною поштою </w:t>
      </w:r>
      <w:hyperlink r:id="rId7" w:history="1">
        <w:r>
          <w:rPr>
            <w:rStyle w:val="a3"/>
            <w:rFonts w:ascii="Arial" w:hAnsi="Arial" w:cs="Arial"/>
            <w:color w:val="0265B5"/>
            <w:spacing w:val="8"/>
          </w:rPr>
          <w:t>info@ccc.kiev.ua</w:t>
        </w:r>
      </w:hyperlink>
      <w:r>
        <w:rPr>
          <w:rFonts w:ascii="Arial" w:hAnsi="Arial" w:cs="Arial"/>
          <w:color w:val="0A0A0A"/>
          <w:spacing w:val="8"/>
        </w:rPr>
        <w:t>, або за телефоном </w:t>
      </w:r>
      <w:r>
        <w:rPr>
          <w:rFonts w:ascii="Arial" w:hAnsi="Arial" w:cs="Arial"/>
          <w:b/>
          <w:bCs/>
          <w:color w:val="0A0A0A"/>
          <w:spacing w:val="8"/>
        </w:rPr>
        <w:t>0 (800) 406 411</w:t>
      </w:r>
      <w:r>
        <w:rPr>
          <w:rFonts w:ascii="Arial" w:hAnsi="Arial" w:cs="Arial"/>
          <w:color w:val="0A0A0A"/>
          <w:spacing w:val="8"/>
        </w:rPr>
        <w:t>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color w:val="0A0A0A"/>
          <w:spacing w:val="8"/>
        </w:rPr>
        <w:t>Для участі в конкурсі</w:t>
      </w:r>
      <w:r>
        <w:rPr>
          <w:rFonts w:ascii="Arial" w:hAnsi="Arial" w:cs="Arial"/>
          <w:color w:val="0A0A0A"/>
          <w:spacing w:val="8"/>
        </w:rPr>
        <w:t> бажаючі повинні заповнити заявку і з необхідними додатками подати її </w:t>
      </w:r>
      <w:r>
        <w:rPr>
          <w:rFonts w:ascii="Arial" w:hAnsi="Arial" w:cs="Arial"/>
          <w:b/>
          <w:bCs/>
          <w:color w:val="0A0A0A"/>
          <w:spacing w:val="8"/>
        </w:rPr>
        <w:t>ВИКЛЮЧНО</w:t>
      </w:r>
      <w:r>
        <w:rPr>
          <w:rFonts w:ascii="Arial" w:hAnsi="Arial" w:cs="Arial"/>
          <w:color w:val="0A0A0A"/>
          <w:spacing w:val="8"/>
        </w:rPr>
        <w:t> з 23 вересня 2019 року через онлайн систему прийому заявок за посиланням </w:t>
      </w:r>
      <w:hyperlink r:id="rId8" w:history="1">
        <w:r>
          <w:rPr>
            <w:rStyle w:val="a3"/>
            <w:rFonts w:ascii="Arial" w:hAnsi="Arial" w:cs="Arial"/>
            <w:color w:val="0265B5"/>
            <w:spacing w:val="8"/>
          </w:rPr>
          <w:t>www.grant.ccc-tck.org.ua</w:t>
        </w:r>
      </w:hyperlink>
      <w:r>
        <w:rPr>
          <w:rFonts w:ascii="Arial" w:hAnsi="Arial" w:cs="Arial"/>
          <w:b/>
          <w:bCs/>
          <w:i/>
          <w:iCs/>
          <w:color w:val="0A0A0A"/>
          <w:spacing w:val="8"/>
        </w:rPr>
        <w:t>. </w:t>
      </w:r>
      <w:r>
        <w:rPr>
          <w:rFonts w:ascii="Arial" w:hAnsi="Arial" w:cs="Arial"/>
          <w:color w:val="0A0A0A"/>
          <w:spacing w:val="8"/>
        </w:rPr>
        <w:t>Заявка заповнюється і подається українською або російською мовами.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i/>
          <w:iCs/>
          <w:color w:val="0A0A0A"/>
          <w:spacing w:val="8"/>
        </w:rPr>
        <w:t>Програму ООН із відновлення та розбудови миру реалізують чотири агентства ООН: Програма розвитку ООН (ПРООН), Структура ООН з питань ґендерної рівності та розширення прав і можливостей жінок (ООН Жінки), Фонд ООН у галузі народонаселення (UNFPA) і Продовольча та сільськогосподарська організація ООН (ФАО).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i/>
          <w:iCs/>
          <w:color w:val="0A0A0A"/>
          <w:spacing w:val="8"/>
        </w:rPr>
        <w:t>Програму підтримують одинадцять міжнародних партнерів: Європейський Союз, Європейський інвестиційний банк, а також уряди Великої Британії, Данії, Канади, Нідерландів, Норвегії, Польщі, Швейцарії, Швеції та Японії.</w:t>
      </w:r>
    </w:p>
    <w:p w:rsidR="00C05592" w:rsidRDefault="00C05592" w:rsidP="00C05592">
      <w:pPr>
        <w:pStyle w:val="a4"/>
        <w:shd w:val="clear" w:color="auto" w:fill="FEFEFE"/>
        <w:rPr>
          <w:rFonts w:ascii="Arial" w:hAnsi="Arial" w:cs="Arial"/>
          <w:color w:val="0A0A0A"/>
          <w:spacing w:val="8"/>
        </w:rPr>
      </w:pPr>
      <w:r>
        <w:rPr>
          <w:rFonts w:ascii="Arial" w:hAnsi="Arial" w:cs="Arial"/>
          <w:b/>
          <w:bCs/>
          <w:i/>
          <w:iCs/>
          <w:color w:val="0A0A0A"/>
          <w:spacing w:val="8"/>
        </w:rPr>
        <w:t>Адміністративну та організаційну підтримку грантового конкурсу забезпечує Благодійний фонд «Творчий центр ТЦК».</w:t>
      </w:r>
    </w:p>
    <w:p w:rsidR="00C05592" w:rsidRDefault="00C05592">
      <w:bookmarkStart w:id="0" w:name="_GoBack"/>
      <w:bookmarkEnd w:id="0"/>
    </w:p>
    <w:sectPr w:rsidR="00C05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E3F"/>
    <w:rsid w:val="006F5E3F"/>
    <w:rsid w:val="00C05592"/>
    <w:rsid w:val="00E8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559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05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1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03.safelinks.protection.outlook.com/?url=http%3A%2F%2Fwww.grant.ccc-tck.org.ua&amp;data=02%7C01%7Ckateryna.tarasiuk%40undp.org%7C9c10f2ca2e0b494212b008d73779f143%7Cb3e5db5e2944483799f57488ace54319%7C0%7C0%7C637038869182064933&amp;sdata=bupMksVlsk1b%2B1vzoeN2y6gHAzBensFAdewHdd1cgeE%3D&amp;reserved=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cc.kiev.u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ur03.safelinks.protection.outlook.com/?url=http%3A%2F%2Fwww.ccc-tck.org.ua%2Fstorage%2Fgrant%2F2_-_posibnik_z_pidgotovki_ta_podannya_zayavok_na_uchast_u_konkursi.docx&amp;data=02%7C01%7Ckateryna.tarasiuk%40undp.org%7C661aba92494d40d73e0f08d736a1dbe0%7Cb3e5db5e2944483799f57488ace54319%7C0%7C0%7C637037941150655926&amp;sdata=SHQWYa6YLAdRwoFnIK3nvCSSX4d%2FlZW%2F9X6uP6VFhnw%3D&amp;reserved=0" TargetMode="External"/><Relationship Id="rId5" Type="http://schemas.openxmlformats.org/officeDocument/2006/relationships/hyperlink" Target="http://www.ua.undp.org/content/ukraine/uk/home/get-involved/UN-RPP-to-announce-business-grants-in-eastern-Ukraine.html?fbclid=IwAR1FSjAWOeadm7n--ObK8_smV--9Ir30cpMbvFY10JPPQXPwRfljRnp46x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1091</Words>
  <Characters>6223</Characters>
  <Application>Microsoft Office Word</Application>
  <DocSecurity>0</DocSecurity>
  <Lines>51</Lines>
  <Paragraphs>14</Paragraphs>
  <ScaleCrop>false</ScaleCrop>
  <Company/>
  <LinksUpToDate>false</LinksUpToDate>
  <CharactersWithSpaces>7300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2019-09-23T12:13:00Z</dcterms:created>
  <dcterms:modified xsi:type="dcterms:W3CDTF">2019-09-23T12:14:00Z</dcterms:modified>
</cp:coreProperties>
</file>