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E10" w:rsidRPr="00F83E10" w:rsidRDefault="00F83E10" w:rsidP="00F83E10">
      <w:pPr>
        <w:spacing w:after="0" w:line="240" w:lineRule="auto"/>
        <w:outlineLvl w:val="0"/>
        <w:rPr>
          <w:rFonts w:ascii="eUkraine" w:eastAsia="Times New Roman" w:hAnsi="eUkraine" w:cs="Times New Roman"/>
          <w:b/>
          <w:bCs/>
          <w:kern w:val="36"/>
          <w:sz w:val="48"/>
          <w:szCs w:val="48"/>
          <w:lang w:eastAsia="uk-UA"/>
        </w:rPr>
      </w:pPr>
      <w:bookmarkStart w:id="0" w:name="_GoBack"/>
      <w:r w:rsidRPr="00F83E10">
        <w:rPr>
          <w:rFonts w:ascii="eUkraine" w:eastAsia="Times New Roman" w:hAnsi="eUkraine" w:cs="Times New Roman"/>
          <w:b/>
          <w:bCs/>
          <w:kern w:val="36"/>
          <w:sz w:val="48"/>
          <w:szCs w:val="48"/>
          <w:lang w:eastAsia="uk-UA"/>
        </w:rPr>
        <w:t>Що відбувається з вашою декларацією після її подання?</w:t>
      </w:r>
    </w:p>
    <w:bookmarkEnd w:id="0"/>
    <w:p w:rsidR="00F83E10" w:rsidRPr="00F83E10" w:rsidRDefault="00F83E10" w:rsidP="00F83E10">
      <w:pPr>
        <w:spacing w:after="0" w:line="240" w:lineRule="auto"/>
        <w:rPr>
          <w:rFonts w:ascii="eUkraine" w:eastAsia="Times New Roman" w:hAnsi="eUkraine" w:cs="Times New Roman"/>
          <w:color w:val="000000"/>
          <w:sz w:val="24"/>
          <w:szCs w:val="24"/>
          <w:lang w:eastAsia="uk-UA"/>
        </w:rPr>
      </w:pPr>
      <w:r w:rsidRPr="00F83E10">
        <w:rPr>
          <w:rFonts w:ascii="eUkraine" w:eastAsia="Times New Roman" w:hAnsi="eUkraine" w:cs="Times New Roman"/>
          <w:color w:val="555555"/>
          <w:sz w:val="24"/>
          <w:szCs w:val="24"/>
          <w:lang w:eastAsia="uk-UA"/>
        </w:rPr>
        <w:t>16.04.2024</w:t>
      </w:r>
    </w:p>
    <w:p w:rsidR="00F83E10" w:rsidRPr="00F83E10" w:rsidRDefault="00F83E10" w:rsidP="00F83E10">
      <w:pPr>
        <w:spacing w:line="240" w:lineRule="auto"/>
        <w:rPr>
          <w:rFonts w:ascii="eUkraine" w:eastAsia="Times New Roman" w:hAnsi="eUkraine" w:cs="Times New Roman"/>
          <w:color w:val="000000"/>
          <w:sz w:val="24"/>
          <w:szCs w:val="24"/>
          <w:lang w:eastAsia="uk-UA"/>
        </w:rPr>
      </w:pPr>
      <w:r w:rsidRPr="00F83E10">
        <w:rPr>
          <w:rFonts w:ascii="eUkraine" w:eastAsia="Times New Roman" w:hAnsi="eUkraine" w:cs="Times New Roman"/>
          <w:color w:val="000000"/>
          <w:sz w:val="24"/>
          <w:szCs w:val="24"/>
          <w:lang w:eastAsia="uk-UA"/>
        </w:rPr>
        <w:t>   </w:t>
      </w:r>
    </w:p>
    <w:p w:rsidR="00F83E10" w:rsidRPr="00F83E10" w:rsidRDefault="00F83E10" w:rsidP="00F83E10">
      <w:pPr>
        <w:spacing w:before="100" w:beforeAutospacing="1" w:after="0"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t xml:space="preserve">Публічні службовці прозвітували про свої статки за останні три роки (2021-2023), а Національне агентство з питань запобігання корупції (НАЗК) отримало понад 2 </w:t>
      </w:r>
      <w:proofErr w:type="spellStart"/>
      <w:r w:rsidRPr="00F83E10">
        <w:rPr>
          <w:rFonts w:ascii="Times New Roman" w:eastAsia="Times New Roman" w:hAnsi="Times New Roman" w:cs="Times New Roman"/>
          <w:color w:val="000000"/>
          <w:sz w:val="28"/>
          <w:szCs w:val="28"/>
          <w:lang w:eastAsia="uk-UA"/>
        </w:rPr>
        <w:t>млн</w:t>
      </w:r>
      <w:proofErr w:type="spellEnd"/>
      <w:r w:rsidRPr="00F83E10">
        <w:rPr>
          <w:rFonts w:ascii="Times New Roman" w:eastAsia="Times New Roman" w:hAnsi="Times New Roman" w:cs="Times New Roman"/>
          <w:color w:val="000000"/>
          <w:sz w:val="28"/>
          <w:szCs w:val="28"/>
          <w:lang w:eastAsia="uk-UA"/>
        </w:rPr>
        <w:t xml:space="preserve"> декларацій. Що ж НАЗК робитиме з ними далі? Як працює </w:t>
      </w:r>
      <w:hyperlink r:id="rId6" w:history="1">
        <w:r w:rsidRPr="00F83E10">
          <w:rPr>
            <w:rFonts w:ascii="Times New Roman" w:eastAsia="Times New Roman" w:hAnsi="Times New Roman" w:cs="Times New Roman"/>
            <w:color w:val="0000FF"/>
            <w:sz w:val="28"/>
            <w:szCs w:val="28"/>
            <w:lang w:eastAsia="uk-UA"/>
          </w:rPr>
          <w:t>ризик-орієнтований підхід</w:t>
        </w:r>
      </w:hyperlink>
      <w:r w:rsidRPr="00F83E10">
        <w:rPr>
          <w:rFonts w:ascii="Times New Roman" w:eastAsia="Times New Roman" w:hAnsi="Times New Roman" w:cs="Times New Roman"/>
          <w:color w:val="000000"/>
          <w:sz w:val="28"/>
          <w:szCs w:val="28"/>
          <w:lang w:eastAsia="uk-UA"/>
        </w:rPr>
        <w:t> до відбору та перевірок декларацій?</w:t>
      </w:r>
    </w:p>
    <w:p w:rsidR="00F83E10" w:rsidRPr="00F83E10" w:rsidRDefault="00F83E10" w:rsidP="00F83E10">
      <w:pPr>
        <w:spacing w:before="100" w:beforeAutospacing="1" w:after="0"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t>Задача НАЗК - сконцентрувати увагу на перевірках тих декларацій, які містять ознаки незаконного збагачення, необґрунтованих активів, недекларування активів тощо. Саме тому розроблено та впроваджено кардинально новий підхід, який має забезпечити перевірку максимальної кількості поданих декларацій, оптимізувати процес перевірок та підвищити ефективність проведення повних перевірок декларацій.</w:t>
      </w:r>
    </w:p>
    <w:p w:rsidR="00F83E10" w:rsidRPr="00F83E10" w:rsidRDefault="00F83E10" w:rsidP="00F83E10">
      <w:pPr>
        <w:spacing w:before="100" w:beforeAutospacing="1" w:after="0"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t>Отже, після того як декларант подав декларацію до </w:t>
      </w:r>
      <w:hyperlink r:id="rId7" w:history="1">
        <w:r w:rsidRPr="00F83E10">
          <w:rPr>
            <w:rFonts w:ascii="Times New Roman" w:eastAsia="Times New Roman" w:hAnsi="Times New Roman" w:cs="Times New Roman"/>
            <w:color w:val="0000FF"/>
            <w:sz w:val="28"/>
            <w:szCs w:val="28"/>
            <w:lang w:eastAsia="uk-UA"/>
          </w:rPr>
          <w:t>Реєстру декларацій</w:t>
        </w:r>
      </w:hyperlink>
      <w:r w:rsidRPr="00F83E10">
        <w:rPr>
          <w:rFonts w:ascii="Times New Roman" w:eastAsia="Times New Roman" w:hAnsi="Times New Roman" w:cs="Times New Roman"/>
          <w:color w:val="000000"/>
          <w:sz w:val="28"/>
          <w:szCs w:val="28"/>
          <w:lang w:eastAsia="uk-UA"/>
        </w:rPr>
        <w:t>, він має ще 30 днів для подання один раз виправленої декларації, якщо допустив помилки або згадав додаткову інформацію про свої чи членів сім’ї активи. При цьому радимо скористатись функцією «</w:t>
      </w:r>
      <w:hyperlink r:id="rId8" w:history="1">
        <w:r w:rsidRPr="00F83E10">
          <w:rPr>
            <w:rFonts w:ascii="Times New Roman" w:eastAsia="Times New Roman" w:hAnsi="Times New Roman" w:cs="Times New Roman"/>
            <w:color w:val="0000FF"/>
            <w:sz w:val="28"/>
            <w:szCs w:val="28"/>
            <w:lang w:eastAsia="uk-UA"/>
          </w:rPr>
          <w:t>Дані для декларації</w:t>
        </w:r>
      </w:hyperlink>
      <w:r w:rsidRPr="00F83E10">
        <w:rPr>
          <w:rFonts w:ascii="Times New Roman" w:eastAsia="Times New Roman" w:hAnsi="Times New Roman" w:cs="Times New Roman"/>
          <w:color w:val="000000"/>
          <w:sz w:val="28"/>
          <w:szCs w:val="28"/>
          <w:lang w:eastAsia="uk-UA"/>
        </w:rPr>
        <w:t xml:space="preserve">» в Реєстрі декларацій. Протягом цього часу НАЗК нічого не робить з декларацією (крім проведення </w:t>
      </w:r>
      <w:proofErr w:type="spellStart"/>
      <w:r w:rsidRPr="00F83E10">
        <w:rPr>
          <w:rFonts w:ascii="Times New Roman" w:eastAsia="Times New Roman" w:hAnsi="Times New Roman" w:cs="Times New Roman"/>
          <w:color w:val="000000"/>
          <w:sz w:val="28"/>
          <w:szCs w:val="28"/>
          <w:lang w:eastAsia="uk-UA"/>
        </w:rPr>
        <w:t>спецперевірки</w:t>
      </w:r>
      <w:proofErr w:type="spellEnd"/>
      <w:r w:rsidRPr="00F83E10">
        <w:rPr>
          <w:rFonts w:ascii="Times New Roman" w:eastAsia="Times New Roman" w:hAnsi="Times New Roman" w:cs="Times New Roman"/>
          <w:color w:val="000000"/>
          <w:sz w:val="28"/>
          <w:szCs w:val="28"/>
          <w:lang w:eastAsia="uk-UA"/>
        </w:rPr>
        <w:t xml:space="preserve"> у визначених законом випадках). </w:t>
      </w:r>
    </w:p>
    <w:p w:rsidR="00F83E10" w:rsidRPr="00F83E10" w:rsidRDefault="00F83E10" w:rsidP="00F83E10">
      <w:pPr>
        <w:spacing w:before="100" w:beforeAutospacing="1" w:after="0"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t>Після завершення 30-денного строку з дня подачі декларації або одразу після подачі виправленої декларації, всі декларації проходять </w:t>
      </w:r>
      <w:hyperlink r:id="rId9" w:history="1">
        <w:r w:rsidRPr="00F83E10">
          <w:rPr>
            <w:rFonts w:ascii="Times New Roman" w:eastAsia="Times New Roman" w:hAnsi="Times New Roman" w:cs="Times New Roman"/>
            <w:color w:val="0000FF"/>
            <w:sz w:val="28"/>
            <w:szCs w:val="28"/>
            <w:lang w:eastAsia="uk-UA"/>
          </w:rPr>
          <w:t>логічний та арифметичний контроль (ЛАК)</w:t>
        </w:r>
      </w:hyperlink>
      <w:r w:rsidRPr="00F83E10">
        <w:rPr>
          <w:rFonts w:ascii="Times New Roman" w:eastAsia="Times New Roman" w:hAnsi="Times New Roman" w:cs="Times New Roman"/>
          <w:color w:val="000000"/>
          <w:sz w:val="28"/>
          <w:szCs w:val="28"/>
          <w:lang w:eastAsia="uk-UA"/>
        </w:rPr>
        <w:t>. За його допомогою ідентифікуються невідповідності (ризики), здійснюється їх оцінка та визначається показник рейтингу ризику декларації. ЛАК - це своєрідний фільтр з трьох етапів, який допомагає проаналізувати всі декларації та визначити ті з них, які мають найвищий  показник рейтингу ризику. ЛАК здійснюється наступним чином:</w:t>
      </w:r>
    </w:p>
    <w:p w:rsidR="00F83E10" w:rsidRPr="00F83E10" w:rsidRDefault="00F83E10" w:rsidP="00F83E10">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proofErr w:type="spellStart"/>
      <w:r w:rsidRPr="00F83E10">
        <w:rPr>
          <w:rFonts w:ascii="Times New Roman" w:eastAsia="Times New Roman" w:hAnsi="Times New Roman" w:cs="Times New Roman"/>
          <w:color w:val="000000"/>
          <w:sz w:val="28"/>
          <w:szCs w:val="28"/>
          <w:lang w:eastAsia="uk-UA"/>
        </w:rPr>
        <w:t>Порівнянюються</w:t>
      </w:r>
      <w:proofErr w:type="spellEnd"/>
      <w:r w:rsidRPr="00F83E10">
        <w:rPr>
          <w:rFonts w:ascii="Times New Roman" w:eastAsia="Times New Roman" w:hAnsi="Times New Roman" w:cs="Times New Roman"/>
          <w:color w:val="000000"/>
          <w:sz w:val="28"/>
          <w:szCs w:val="28"/>
          <w:lang w:eastAsia="uk-UA"/>
        </w:rPr>
        <w:t xml:space="preserve"> дані у декларації з даними реєстрів, банків даних, до яких НАЗК має автоматизований доступ (завдяки вдосконаленню процесу обміну даними між реєстрами наразі можливо звірити до 74% даних, зазначених у декларації). Кожна виявлена за результатами порівняння даних невідповідність вважається ідентифікованим ризиком.</w:t>
      </w:r>
    </w:p>
    <w:p w:rsidR="00F83E10" w:rsidRPr="00F83E10" w:rsidRDefault="00F83E10" w:rsidP="00F83E10">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t xml:space="preserve">Порівнюються дані, вказані як в даній декларації, так і з даними, вказаними у декларації попереднього періоду (за наявності), а також застосовуються формули, які дозволяють виявити ознаки незаконного збагачення чи необґрунтованості активів, ознаки порушення обмежень щодо одержання подарунків чи сумісництва та суміщення діяльності. </w:t>
      </w:r>
      <w:r w:rsidRPr="00F83E10">
        <w:rPr>
          <w:rFonts w:ascii="Times New Roman" w:eastAsia="Times New Roman" w:hAnsi="Times New Roman" w:cs="Times New Roman"/>
          <w:color w:val="000000"/>
          <w:sz w:val="28"/>
          <w:szCs w:val="28"/>
          <w:lang w:eastAsia="uk-UA"/>
        </w:rPr>
        <w:lastRenderedPageBreak/>
        <w:t>Спрацювання хоча б однієї з формул та кожна виявлена при порівнянні даних невідповідність вважається ідентифікованим ризиком.</w:t>
      </w:r>
    </w:p>
    <w:p w:rsidR="00F83E10" w:rsidRPr="00F83E10" w:rsidRDefault="00F83E10" w:rsidP="00F83E10">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t>Кожному ідентифікованому у декларації ризику присвоюється ваговий коефіцієнт. Сума всіх вагових коефіцієнтів є розрахованим показником рейтингу ризику декларації.</w:t>
      </w:r>
    </w:p>
    <w:p w:rsidR="00F83E10" w:rsidRPr="00F83E10" w:rsidRDefault="00F83E10" w:rsidP="00F83E10">
      <w:pPr>
        <w:spacing w:before="100" w:beforeAutospacing="1" w:after="0"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t xml:space="preserve">За показником рейтингу ризику відбувається </w:t>
      </w:r>
      <w:proofErr w:type="spellStart"/>
      <w:r w:rsidRPr="00F83E10">
        <w:rPr>
          <w:rFonts w:ascii="Times New Roman" w:eastAsia="Times New Roman" w:hAnsi="Times New Roman" w:cs="Times New Roman"/>
          <w:color w:val="000000"/>
          <w:sz w:val="28"/>
          <w:szCs w:val="28"/>
          <w:lang w:eastAsia="uk-UA"/>
        </w:rPr>
        <w:t>ранжування</w:t>
      </w:r>
      <w:proofErr w:type="spellEnd"/>
      <w:r w:rsidRPr="00F83E10">
        <w:rPr>
          <w:rFonts w:ascii="Times New Roman" w:eastAsia="Times New Roman" w:hAnsi="Times New Roman" w:cs="Times New Roman"/>
          <w:color w:val="000000"/>
          <w:sz w:val="28"/>
          <w:szCs w:val="28"/>
          <w:lang w:eastAsia="uk-UA"/>
        </w:rPr>
        <w:t xml:space="preserve"> всіх декларацій від вищого до нижчого. Це впливає на черговість відбору декларацій на їх повну перевірку. </w:t>
      </w:r>
    </w:p>
    <w:p w:rsidR="00F83E10" w:rsidRPr="00F83E10" w:rsidRDefault="00F83E10" w:rsidP="00F83E10">
      <w:pPr>
        <w:spacing w:before="100" w:beforeAutospacing="1" w:after="0" w:line="240" w:lineRule="auto"/>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b/>
          <w:bCs/>
          <w:color w:val="000000"/>
          <w:sz w:val="28"/>
          <w:szCs w:val="28"/>
          <w:lang w:eastAsia="uk-UA"/>
        </w:rPr>
        <w:t>Що таке автоматизована перевірка декларації? Які декларації можуть бути перевірені автоматизовано?</w:t>
      </w:r>
    </w:p>
    <w:p w:rsidR="00F83E10" w:rsidRPr="00F83E10" w:rsidRDefault="00F83E10" w:rsidP="00F83E10">
      <w:pPr>
        <w:spacing w:before="100" w:beforeAutospacing="1" w:after="0"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t>Якщо декларація отримала низький показник рейтингу ризику, то вона може пройти </w:t>
      </w:r>
      <w:hyperlink r:id="rId10" w:history="1">
        <w:r w:rsidRPr="00F83E10">
          <w:rPr>
            <w:rFonts w:ascii="Times New Roman" w:eastAsia="Times New Roman" w:hAnsi="Times New Roman" w:cs="Times New Roman"/>
            <w:color w:val="0000FF"/>
            <w:sz w:val="28"/>
            <w:szCs w:val="28"/>
            <w:lang w:eastAsia="uk-UA"/>
          </w:rPr>
          <w:t>автоматизовану перевірку</w:t>
        </w:r>
      </w:hyperlink>
      <w:r w:rsidRPr="00F83E10">
        <w:rPr>
          <w:rFonts w:ascii="Times New Roman" w:eastAsia="Times New Roman" w:hAnsi="Times New Roman" w:cs="Times New Roman"/>
          <w:color w:val="000000"/>
          <w:sz w:val="28"/>
          <w:szCs w:val="28"/>
          <w:lang w:eastAsia="uk-UA"/>
        </w:rPr>
        <w:t> програмними засобами Реєстру декларацій. Йдеться про приблизно 30% усіх поданих до Реєстру декларацій. При цьому автоматизовано можуть бути перевірені декларації:</w:t>
      </w:r>
    </w:p>
    <w:p w:rsidR="00F83E10" w:rsidRPr="00F83E10" w:rsidRDefault="00F83E10" w:rsidP="00F83E10">
      <w:pPr>
        <w:numPr>
          <w:ilvl w:val="0"/>
          <w:numId w:val="2"/>
        </w:numPr>
        <w:spacing w:before="100" w:beforeAutospacing="1" w:after="0"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t>в яких відображено дані, достатні для ідентифікації членів сім’ї декларанта та об’єктів декларування;</w:t>
      </w:r>
    </w:p>
    <w:p w:rsidR="00F83E10" w:rsidRPr="00F83E10" w:rsidRDefault="00F83E10" w:rsidP="00F83E10">
      <w:pPr>
        <w:numPr>
          <w:ilvl w:val="0"/>
          <w:numId w:val="2"/>
        </w:numPr>
        <w:spacing w:before="100" w:beforeAutospacing="1" w:after="0"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t>в яких відображений обсяг даних, що може бути перевірений шляхом порівняння даних декларації з даними національних реєстрів та банків даних, і якщо за результатами такого порівняння не встановлено ознак декларування недостовірних відомостей (понад 100 прожиткових мінімумів);</w:t>
      </w:r>
    </w:p>
    <w:p w:rsidR="00F83E10" w:rsidRPr="00F83E10" w:rsidRDefault="00F83E10" w:rsidP="00F83E10">
      <w:pPr>
        <w:numPr>
          <w:ilvl w:val="0"/>
          <w:numId w:val="2"/>
        </w:numPr>
        <w:spacing w:before="100" w:beforeAutospacing="1" w:after="0"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t xml:space="preserve">якщо за результатом застосуванням певних формул, наприклад, на встановлення ознак незаконного збагачення чи </w:t>
      </w:r>
      <w:proofErr w:type="spellStart"/>
      <w:r w:rsidRPr="00F83E10">
        <w:rPr>
          <w:rFonts w:ascii="Times New Roman" w:eastAsia="Times New Roman" w:hAnsi="Times New Roman" w:cs="Times New Roman"/>
          <w:color w:val="000000"/>
          <w:sz w:val="28"/>
          <w:szCs w:val="28"/>
          <w:lang w:eastAsia="uk-UA"/>
        </w:rPr>
        <w:t>необгрунтованості</w:t>
      </w:r>
      <w:proofErr w:type="spellEnd"/>
      <w:r w:rsidRPr="00F83E10">
        <w:rPr>
          <w:rFonts w:ascii="Times New Roman" w:eastAsia="Times New Roman" w:hAnsi="Times New Roman" w:cs="Times New Roman"/>
          <w:color w:val="000000"/>
          <w:sz w:val="28"/>
          <w:szCs w:val="28"/>
          <w:lang w:eastAsia="uk-UA"/>
        </w:rPr>
        <w:t xml:space="preserve"> активів, конфлікту інтересів,  не встановлено ознак таких порушень;</w:t>
      </w:r>
    </w:p>
    <w:p w:rsidR="00F83E10" w:rsidRPr="00F83E10" w:rsidRDefault="00F83E10" w:rsidP="00F83E10">
      <w:pPr>
        <w:numPr>
          <w:ilvl w:val="0"/>
          <w:numId w:val="2"/>
        </w:numPr>
        <w:spacing w:before="100" w:beforeAutospacing="1" w:after="0"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t>декларації, подані за 2021 та наступні звітні роки (за попередні роки це зробити неможливо, оскільки у 2021 році змінилася форма декларації).</w:t>
      </w:r>
    </w:p>
    <w:p w:rsidR="00F83E10" w:rsidRPr="00F83E10" w:rsidRDefault="00F83E10" w:rsidP="00F83E10">
      <w:pPr>
        <w:spacing w:before="100" w:beforeAutospacing="1" w:after="0"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t xml:space="preserve">При цьому не можуть бути перевірені автоматизовано декларації, подані суддями, </w:t>
      </w:r>
      <w:proofErr w:type="spellStart"/>
      <w:r w:rsidRPr="00F83E10">
        <w:rPr>
          <w:rFonts w:ascii="Times New Roman" w:eastAsia="Times New Roman" w:hAnsi="Times New Roman" w:cs="Times New Roman"/>
          <w:color w:val="000000"/>
          <w:sz w:val="28"/>
          <w:szCs w:val="28"/>
          <w:lang w:eastAsia="uk-UA"/>
        </w:rPr>
        <w:t>суддями</w:t>
      </w:r>
      <w:proofErr w:type="spellEnd"/>
      <w:r w:rsidRPr="00F83E10">
        <w:rPr>
          <w:rFonts w:ascii="Times New Roman" w:eastAsia="Times New Roman" w:hAnsi="Times New Roman" w:cs="Times New Roman"/>
          <w:color w:val="000000"/>
          <w:sz w:val="28"/>
          <w:szCs w:val="28"/>
          <w:lang w:eastAsia="uk-UA"/>
        </w:rPr>
        <w:t xml:space="preserve"> Конституційного Суду України, крім суддів у відставці, оскільки Законом України “Про запобігання корупції” визначено особливості перевірки декларацій, поданих вказаними категоріями декларантів.</w:t>
      </w:r>
    </w:p>
    <w:p w:rsidR="00F83E10" w:rsidRPr="00F83E10" w:rsidRDefault="00F83E10" w:rsidP="00F83E10">
      <w:pPr>
        <w:spacing w:before="100" w:beforeAutospacing="1" w:after="0"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t>За результатами успішного проходження автоматизованої перевірки декларант отримає повідомлення та довідку у персональному кабінеті Реєстру декларацій. Про те, що декларація пройшла автоматизовану перевірку, вказуватиме відповідна позначка в публічній частині Реєстру декларацій. Її зможе побачити кожен користувач в публічній частині Реєстру.</w:t>
      </w:r>
    </w:p>
    <w:p w:rsidR="00F83E10" w:rsidRPr="00F83E10" w:rsidRDefault="00F83E10" w:rsidP="00F83E10">
      <w:pPr>
        <w:spacing w:before="100" w:beforeAutospacing="1" w:after="0"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t xml:space="preserve">Якщо ви не отримали довідки за результатами автоматизованої перевірки, то ваша декларація не пройшла таку перевірку. Це не означає, що в декларації вказані недостовірні відомості або виявлено ознаки незаконного збагачення чи </w:t>
      </w:r>
      <w:proofErr w:type="spellStart"/>
      <w:r w:rsidRPr="00F83E10">
        <w:rPr>
          <w:rFonts w:ascii="Times New Roman" w:eastAsia="Times New Roman" w:hAnsi="Times New Roman" w:cs="Times New Roman"/>
          <w:color w:val="000000"/>
          <w:sz w:val="28"/>
          <w:szCs w:val="28"/>
          <w:lang w:eastAsia="uk-UA"/>
        </w:rPr>
        <w:t>необгрунтованості</w:t>
      </w:r>
      <w:proofErr w:type="spellEnd"/>
      <w:r w:rsidRPr="00F83E10">
        <w:rPr>
          <w:rFonts w:ascii="Times New Roman" w:eastAsia="Times New Roman" w:hAnsi="Times New Roman" w:cs="Times New Roman"/>
          <w:color w:val="000000"/>
          <w:sz w:val="28"/>
          <w:szCs w:val="28"/>
          <w:lang w:eastAsia="uk-UA"/>
        </w:rPr>
        <w:t xml:space="preserve"> активів. Можливо, декларація містить дані, які </w:t>
      </w:r>
      <w:r w:rsidRPr="00F83E10">
        <w:rPr>
          <w:rFonts w:ascii="Times New Roman" w:eastAsia="Times New Roman" w:hAnsi="Times New Roman" w:cs="Times New Roman"/>
          <w:color w:val="000000"/>
          <w:sz w:val="28"/>
          <w:szCs w:val="28"/>
          <w:lang w:eastAsia="uk-UA"/>
        </w:rPr>
        <w:lastRenderedPageBreak/>
        <w:t xml:space="preserve">неможливо перевірити автоматизовано програмними засобами Реєстру. Складення довідки про </w:t>
      </w:r>
      <w:proofErr w:type="spellStart"/>
      <w:r w:rsidRPr="00F83E10">
        <w:rPr>
          <w:rFonts w:ascii="Times New Roman" w:eastAsia="Times New Roman" w:hAnsi="Times New Roman" w:cs="Times New Roman"/>
          <w:color w:val="000000"/>
          <w:sz w:val="28"/>
          <w:szCs w:val="28"/>
          <w:lang w:eastAsia="uk-UA"/>
        </w:rPr>
        <w:t>непроходження</w:t>
      </w:r>
      <w:proofErr w:type="spellEnd"/>
      <w:r w:rsidRPr="00F83E10">
        <w:rPr>
          <w:rFonts w:ascii="Times New Roman" w:eastAsia="Times New Roman" w:hAnsi="Times New Roman" w:cs="Times New Roman"/>
          <w:color w:val="000000"/>
          <w:sz w:val="28"/>
          <w:szCs w:val="28"/>
          <w:lang w:eastAsia="uk-UA"/>
        </w:rPr>
        <w:t xml:space="preserve"> автоматизованої перевірки не передбачено.</w:t>
      </w:r>
    </w:p>
    <w:p w:rsidR="00F83E10" w:rsidRPr="00F83E10" w:rsidRDefault="00F83E10" w:rsidP="00F83E10">
      <w:pPr>
        <w:spacing w:before="100" w:beforeAutospacing="1" w:after="0" w:line="240" w:lineRule="auto"/>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b/>
          <w:bCs/>
          <w:color w:val="000000"/>
          <w:sz w:val="28"/>
          <w:szCs w:val="28"/>
          <w:lang w:eastAsia="uk-UA"/>
        </w:rPr>
        <w:t>Які декларації підлягають повній перевірці?</w:t>
      </w:r>
    </w:p>
    <w:p w:rsidR="00F83E10" w:rsidRPr="00F83E10" w:rsidRDefault="00F83E10" w:rsidP="00F83E10">
      <w:pPr>
        <w:spacing w:before="100" w:beforeAutospacing="1" w:after="0" w:line="240" w:lineRule="auto"/>
        <w:jc w:val="both"/>
        <w:rPr>
          <w:rFonts w:ascii="Times New Roman" w:eastAsia="Times New Roman" w:hAnsi="Times New Roman" w:cs="Times New Roman"/>
          <w:color w:val="000000"/>
          <w:sz w:val="28"/>
          <w:szCs w:val="28"/>
          <w:lang w:eastAsia="uk-UA"/>
        </w:rPr>
      </w:pPr>
      <w:hyperlink r:id="rId11" w:anchor="Text" w:history="1">
        <w:r w:rsidRPr="00F83E10">
          <w:rPr>
            <w:rFonts w:ascii="Times New Roman" w:eastAsia="Times New Roman" w:hAnsi="Times New Roman" w:cs="Times New Roman"/>
            <w:color w:val="0000FF"/>
            <w:sz w:val="28"/>
            <w:szCs w:val="28"/>
            <w:lang w:eastAsia="uk-UA"/>
          </w:rPr>
          <w:t>Порядком відбору декларацій для проведення повної перевірки</w:t>
        </w:r>
      </w:hyperlink>
      <w:r w:rsidRPr="00F83E10">
        <w:rPr>
          <w:rFonts w:ascii="Times New Roman" w:eastAsia="Times New Roman" w:hAnsi="Times New Roman" w:cs="Times New Roman"/>
          <w:color w:val="000000"/>
          <w:sz w:val="28"/>
          <w:szCs w:val="28"/>
          <w:lang w:eastAsia="uk-UA"/>
        </w:rPr>
        <w:t> та черговості такої перевірки  визначено, що для повної перевірки уповноваженими особами НАЗК відбираються декларації:</w:t>
      </w:r>
    </w:p>
    <w:p w:rsidR="00F83E10" w:rsidRPr="00F83E10" w:rsidRDefault="00F83E10" w:rsidP="00F83E10">
      <w:pPr>
        <w:numPr>
          <w:ilvl w:val="0"/>
          <w:numId w:val="3"/>
        </w:numPr>
        <w:spacing w:before="100" w:beforeAutospacing="1" w:after="0"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b/>
          <w:bCs/>
          <w:color w:val="000000"/>
          <w:sz w:val="28"/>
          <w:szCs w:val="28"/>
          <w:lang w:eastAsia="uk-UA"/>
        </w:rPr>
        <w:t>в першу чергу ті,</w:t>
      </w:r>
      <w:r w:rsidRPr="00F83E10">
        <w:rPr>
          <w:rFonts w:ascii="Times New Roman" w:eastAsia="Times New Roman" w:hAnsi="Times New Roman" w:cs="Times New Roman"/>
          <w:color w:val="000000"/>
          <w:sz w:val="28"/>
          <w:szCs w:val="28"/>
          <w:lang w:eastAsia="uk-UA"/>
        </w:rPr>
        <w:t> які мають найвищий показник рейтингу ризику та які подані особами, посади яких вказані у </w:t>
      </w:r>
      <w:hyperlink r:id="rId12" w:anchor="Text" w:history="1">
        <w:r w:rsidRPr="00F83E10">
          <w:rPr>
            <w:rFonts w:ascii="Times New Roman" w:eastAsia="Times New Roman" w:hAnsi="Times New Roman" w:cs="Times New Roman"/>
            <w:color w:val="0000FF"/>
            <w:sz w:val="28"/>
            <w:szCs w:val="28"/>
            <w:lang w:eastAsia="uk-UA"/>
          </w:rPr>
          <w:t>примітці до ст. 51-3 Закону “Про запобігання корупції”</w:t>
        </w:r>
      </w:hyperlink>
      <w:r w:rsidRPr="00F83E10">
        <w:rPr>
          <w:rFonts w:ascii="Times New Roman" w:eastAsia="Times New Roman" w:hAnsi="Times New Roman" w:cs="Times New Roman"/>
          <w:color w:val="000000"/>
          <w:sz w:val="28"/>
          <w:szCs w:val="28"/>
          <w:lang w:eastAsia="uk-UA"/>
        </w:rPr>
        <w:t>, а також подані особами, посади яких пов’язані з високим рівнем корупційних ризиків;</w:t>
      </w:r>
    </w:p>
    <w:p w:rsidR="00F83E10" w:rsidRPr="00F83E10" w:rsidRDefault="00F83E10" w:rsidP="00F83E10">
      <w:pPr>
        <w:numPr>
          <w:ilvl w:val="0"/>
          <w:numId w:val="3"/>
        </w:numPr>
        <w:spacing w:before="100" w:beforeAutospacing="1" w:after="0"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b/>
          <w:bCs/>
          <w:color w:val="000000"/>
          <w:sz w:val="28"/>
          <w:szCs w:val="28"/>
          <w:lang w:eastAsia="uk-UA"/>
        </w:rPr>
        <w:t>в другу чергу ті,</w:t>
      </w:r>
      <w:r w:rsidRPr="00F83E10">
        <w:rPr>
          <w:rFonts w:ascii="Times New Roman" w:eastAsia="Times New Roman" w:hAnsi="Times New Roman" w:cs="Times New Roman"/>
          <w:color w:val="000000"/>
          <w:sz w:val="28"/>
          <w:szCs w:val="28"/>
          <w:lang w:eastAsia="uk-UA"/>
        </w:rPr>
        <w:t> які мають найвищий показник рейтингу ризику та подані іншими категоріями декларантів;</w:t>
      </w:r>
    </w:p>
    <w:p w:rsidR="00F83E10" w:rsidRPr="00F83E10" w:rsidRDefault="00F83E10" w:rsidP="00F83E10">
      <w:pPr>
        <w:numPr>
          <w:ilvl w:val="0"/>
          <w:numId w:val="3"/>
        </w:numPr>
        <w:spacing w:before="100" w:beforeAutospacing="1" w:after="0"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b/>
          <w:bCs/>
          <w:color w:val="000000"/>
          <w:sz w:val="28"/>
          <w:szCs w:val="28"/>
          <w:lang w:eastAsia="uk-UA"/>
        </w:rPr>
        <w:t>в третю чергу</w:t>
      </w:r>
      <w:r w:rsidRPr="00F83E10">
        <w:rPr>
          <w:rFonts w:ascii="Times New Roman" w:eastAsia="Times New Roman" w:hAnsi="Times New Roman" w:cs="Times New Roman"/>
          <w:color w:val="000000"/>
          <w:sz w:val="28"/>
          <w:szCs w:val="28"/>
          <w:lang w:eastAsia="uk-UA"/>
        </w:rPr>
        <w:t xml:space="preserve"> за повідомленнями від фізичних та юридичних осіб, правоохоронних органів, </w:t>
      </w:r>
      <w:proofErr w:type="spellStart"/>
      <w:r w:rsidRPr="00F83E10">
        <w:rPr>
          <w:rFonts w:ascii="Times New Roman" w:eastAsia="Times New Roman" w:hAnsi="Times New Roman" w:cs="Times New Roman"/>
          <w:color w:val="000000"/>
          <w:sz w:val="28"/>
          <w:szCs w:val="28"/>
          <w:lang w:eastAsia="uk-UA"/>
        </w:rPr>
        <w:t>журналістів-розслідувачів</w:t>
      </w:r>
      <w:proofErr w:type="spellEnd"/>
      <w:r w:rsidRPr="00F83E10">
        <w:rPr>
          <w:rFonts w:ascii="Times New Roman" w:eastAsia="Times New Roman" w:hAnsi="Times New Roman" w:cs="Times New Roman"/>
          <w:color w:val="000000"/>
          <w:sz w:val="28"/>
          <w:szCs w:val="28"/>
          <w:lang w:eastAsia="uk-UA"/>
        </w:rPr>
        <w:t>, в яких буде вказана інформація про можливе декларування недостовірних відомостей (більше 500 прожиткових мінімумів). Навіть у випадках, коли така декларація пройшла автоматизовану перевірку та незалежно від показника рейтингу ризику декларації;</w:t>
      </w:r>
    </w:p>
    <w:p w:rsidR="00F83E10" w:rsidRPr="00F83E10" w:rsidRDefault="00F83E10" w:rsidP="00F83E10">
      <w:pPr>
        <w:numPr>
          <w:ilvl w:val="0"/>
          <w:numId w:val="3"/>
        </w:numPr>
        <w:spacing w:before="100" w:beforeAutospacing="1" w:after="0"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b/>
          <w:bCs/>
          <w:color w:val="000000"/>
          <w:sz w:val="28"/>
          <w:szCs w:val="28"/>
          <w:lang w:eastAsia="uk-UA"/>
        </w:rPr>
        <w:t>в четверту чергу ті,</w:t>
      </w:r>
      <w:r w:rsidRPr="00F83E10">
        <w:rPr>
          <w:rFonts w:ascii="Times New Roman" w:eastAsia="Times New Roman" w:hAnsi="Times New Roman" w:cs="Times New Roman"/>
          <w:color w:val="000000"/>
          <w:sz w:val="28"/>
          <w:szCs w:val="28"/>
          <w:lang w:eastAsia="uk-UA"/>
        </w:rPr>
        <w:t xml:space="preserve"> щодо яких в повідомленнях від фізичних та юридичних осіб, правоохоронних органів, </w:t>
      </w:r>
      <w:proofErr w:type="spellStart"/>
      <w:r w:rsidRPr="00F83E10">
        <w:rPr>
          <w:rFonts w:ascii="Times New Roman" w:eastAsia="Times New Roman" w:hAnsi="Times New Roman" w:cs="Times New Roman"/>
          <w:color w:val="000000"/>
          <w:sz w:val="28"/>
          <w:szCs w:val="28"/>
          <w:lang w:eastAsia="uk-UA"/>
        </w:rPr>
        <w:t>журналістів-розслідувачів</w:t>
      </w:r>
      <w:proofErr w:type="spellEnd"/>
      <w:r w:rsidRPr="00F83E10">
        <w:rPr>
          <w:rFonts w:ascii="Times New Roman" w:eastAsia="Times New Roman" w:hAnsi="Times New Roman" w:cs="Times New Roman"/>
          <w:color w:val="000000"/>
          <w:sz w:val="28"/>
          <w:szCs w:val="28"/>
          <w:lang w:eastAsia="uk-UA"/>
        </w:rPr>
        <w:t xml:space="preserve"> буде вказана інформація про можливе декларування недостовірних відомостей у розмірі від 100 до 500 прожиткових мінімумів. Такі декларації будуть перевірені навіть у випадках, коли вони вже пройшли автоматизовану перевірку та незалежно від показника рейтингу ризику декларації.</w:t>
      </w:r>
    </w:p>
    <w:p w:rsidR="00F83E10" w:rsidRPr="00F83E10" w:rsidRDefault="00F83E10" w:rsidP="00F83E10">
      <w:pPr>
        <w:spacing w:before="100" w:beforeAutospacing="1" w:after="0"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t>Відібрані для повної перевірки декларації розподіляються між уповноваженими особами НАЗК шляхом автоматизованого розподілу.</w:t>
      </w:r>
    </w:p>
    <w:p w:rsidR="00F83E10" w:rsidRPr="00F83E10" w:rsidRDefault="00F83E10" w:rsidP="00F83E10">
      <w:pPr>
        <w:spacing w:before="100" w:beforeAutospacing="1" w:after="0"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t>Повна перевірка здійснюється за затвердженим </w:t>
      </w:r>
      <w:hyperlink r:id="rId13" w:anchor="Text" w:history="1">
        <w:r w:rsidRPr="00F83E10">
          <w:rPr>
            <w:rFonts w:ascii="Times New Roman" w:eastAsia="Times New Roman" w:hAnsi="Times New Roman" w:cs="Times New Roman"/>
            <w:color w:val="0000FF"/>
            <w:sz w:val="28"/>
            <w:szCs w:val="28"/>
            <w:lang w:eastAsia="uk-UA"/>
          </w:rPr>
          <w:t>Порядком проведення повної перевірки декларації</w:t>
        </w:r>
      </w:hyperlink>
      <w:r w:rsidRPr="00F83E10">
        <w:rPr>
          <w:rFonts w:ascii="Times New Roman" w:eastAsia="Times New Roman" w:hAnsi="Times New Roman" w:cs="Times New Roman"/>
          <w:color w:val="000000"/>
          <w:sz w:val="28"/>
          <w:szCs w:val="28"/>
          <w:lang w:eastAsia="uk-UA"/>
        </w:rPr>
        <w:t>. Її складовими є:</w:t>
      </w:r>
    </w:p>
    <w:p w:rsidR="00F83E10" w:rsidRPr="00F83E10" w:rsidRDefault="00F83E10" w:rsidP="00F83E10">
      <w:pPr>
        <w:numPr>
          <w:ilvl w:val="0"/>
          <w:numId w:val="4"/>
        </w:numPr>
        <w:spacing w:before="100" w:beforeAutospacing="1" w:after="0" w:line="240" w:lineRule="auto"/>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t>з’ясування достовірності задекларованих відомостей;</w:t>
      </w:r>
    </w:p>
    <w:p w:rsidR="00F83E10" w:rsidRPr="00F83E10" w:rsidRDefault="00F83E10" w:rsidP="00F83E10">
      <w:pPr>
        <w:numPr>
          <w:ilvl w:val="0"/>
          <w:numId w:val="4"/>
        </w:numPr>
        <w:spacing w:before="100" w:beforeAutospacing="1" w:after="0" w:line="240" w:lineRule="auto"/>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t>з’ясування точності оцінки задекларованих активів;</w:t>
      </w:r>
    </w:p>
    <w:p w:rsidR="00F83E10" w:rsidRPr="00F83E10" w:rsidRDefault="00F83E10" w:rsidP="00F83E10">
      <w:pPr>
        <w:numPr>
          <w:ilvl w:val="0"/>
          <w:numId w:val="4"/>
        </w:numPr>
        <w:spacing w:before="100" w:beforeAutospacing="1" w:after="0" w:line="240" w:lineRule="auto"/>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t>перевірка на наявність конфлікту інтересів;</w:t>
      </w:r>
    </w:p>
    <w:p w:rsidR="00F83E10" w:rsidRPr="00F83E10" w:rsidRDefault="00F83E10" w:rsidP="00F83E10">
      <w:pPr>
        <w:numPr>
          <w:ilvl w:val="0"/>
          <w:numId w:val="4"/>
        </w:numPr>
        <w:spacing w:before="100" w:beforeAutospacing="1" w:after="0" w:line="240" w:lineRule="auto"/>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t>перевірка на наявність ознак незаконного збагачення чи необґрунтованості активів.</w:t>
      </w:r>
    </w:p>
    <w:p w:rsidR="00F83E10" w:rsidRPr="00F83E10" w:rsidRDefault="00F83E10" w:rsidP="00F83E10">
      <w:pPr>
        <w:spacing w:before="100" w:beforeAutospacing="1" w:after="0"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t>Вищезазначеним Порядком розмежовано поняття неточних та недостовірних відомостей в залежності від загальної суми виявлених розбіжностей (невідповідностей) даних у всіх розділах декларації. Про те, як це вираховується, ми розповідали </w:t>
      </w:r>
      <w:hyperlink r:id="rId14" w:history="1">
        <w:r w:rsidRPr="00F83E10">
          <w:rPr>
            <w:rFonts w:ascii="Times New Roman" w:eastAsia="Times New Roman" w:hAnsi="Times New Roman" w:cs="Times New Roman"/>
            <w:color w:val="0000FF"/>
            <w:sz w:val="28"/>
            <w:szCs w:val="28"/>
            <w:lang w:eastAsia="uk-UA"/>
          </w:rPr>
          <w:t>тут</w:t>
        </w:r>
      </w:hyperlink>
      <w:r w:rsidRPr="00F83E10">
        <w:rPr>
          <w:rFonts w:ascii="Times New Roman" w:eastAsia="Times New Roman" w:hAnsi="Times New Roman" w:cs="Times New Roman"/>
          <w:color w:val="000000"/>
          <w:sz w:val="28"/>
          <w:szCs w:val="28"/>
          <w:lang w:eastAsia="uk-UA"/>
        </w:rPr>
        <w:t>.</w:t>
      </w:r>
    </w:p>
    <w:p w:rsidR="00F83E10" w:rsidRPr="00F83E10" w:rsidRDefault="00F83E10" w:rsidP="00F83E10">
      <w:pPr>
        <w:spacing w:before="100" w:beforeAutospacing="1" w:after="0"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lastRenderedPageBreak/>
        <w:t>Повідомлення про розпочату повну перевірку декларант отримає в особистому кабінеті в Реєстрі декларацій, а журналісти та суспільство зможуть побачити це на офіційному сайті НАЗК у розділі “</w:t>
      </w:r>
      <w:hyperlink r:id="rId15" w:history="1">
        <w:r w:rsidRPr="00F83E10">
          <w:rPr>
            <w:rFonts w:ascii="Times New Roman" w:eastAsia="Times New Roman" w:hAnsi="Times New Roman" w:cs="Times New Roman"/>
            <w:color w:val="0000FF"/>
            <w:sz w:val="28"/>
            <w:szCs w:val="28"/>
            <w:lang w:eastAsia="uk-UA"/>
          </w:rPr>
          <w:t>Моніторинг діяльності НАЗК</w:t>
        </w:r>
      </w:hyperlink>
      <w:r w:rsidRPr="00F83E10">
        <w:rPr>
          <w:rFonts w:ascii="Times New Roman" w:eastAsia="Times New Roman" w:hAnsi="Times New Roman" w:cs="Times New Roman"/>
          <w:color w:val="000000"/>
          <w:sz w:val="28"/>
          <w:szCs w:val="28"/>
          <w:lang w:eastAsia="uk-UA"/>
        </w:rPr>
        <w:t>”. Тут також розміщуються довідки за результатами повних перевірок та інформація про направлені до компетентних органів обґрунтовані висновки про виявлені порушення. </w:t>
      </w:r>
    </w:p>
    <w:p w:rsidR="00F83E10" w:rsidRPr="00F83E10" w:rsidRDefault="00F83E10" w:rsidP="00F83E10">
      <w:pPr>
        <w:spacing w:before="100" w:beforeAutospacing="1" w:after="0"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t>За результатами проведеної повної перевірки декларант отримує примірник довідки та має обов’язок подати декларацію з достовірними відомостями упродовж 10 днів. У разі встановлення недостовірних відомостей та інших порушень з боку НАЗК вживаються заходи реагування відповідно до компетенції органів, а також повідомляється керівник органу, в якому працює декларант.</w:t>
      </w:r>
    </w:p>
    <w:p w:rsidR="00F83E10" w:rsidRPr="00F83E10" w:rsidRDefault="00F83E10" w:rsidP="00F83E10">
      <w:pPr>
        <w:spacing w:before="100" w:beforeAutospacing="1" w:after="0"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color w:val="000000"/>
          <w:sz w:val="28"/>
          <w:szCs w:val="28"/>
          <w:lang w:eastAsia="uk-UA"/>
        </w:rPr>
        <w:t xml:space="preserve">Наголошуємо, що початок повної перевірки ще не означає, що декларант вчинив корупційне або </w:t>
      </w:r>
      <w:proofErr w:type="spellStart"/>
      <w:r w:rsidRPr="00F83E10">
        <w:rPr>
          <w:rFonts w:ascii="Times New Roman" w:eastAsia="Times New Roman" w:hAnsi="Times New Roman" w:cs="Times New Roman"/>
          <w:color w:val="000000"/>
          <w:sz w:val="28"/>
          <w:szCs w:val="28"/>
          <w:lang w:eastAsia="uk-UA"/>
        </w:rPr>
        <w:t>повʼязане</w:t>
      </w:r>
      <w:proofErr w:type="spellEnd"/>
      <w:r w:rsidRPr="00F83E10">
        <w:rPr>
          <w:rFonts w:ascii="Times New Roman" w:eastAsia="Times New Roman" w:hAnsi="Times New Roman" w:cs="Times New Roman"/>
          <w:color w:val="000000"/>
          <w:sz w:val="28"/>
          <w:szCs w:val="28"/>
          <w:lang w:eastAsia="uk-UA"/>
        </w:rPr>
        <w:t xml:space="preserve"> з корупцією правопорушення.</w:t>
      </w:r>
    </w:p>
    <w:p w:rsidR="00F83E10" w:rsidRPr="00F83E10" w:rsidRDefault="00F83E10" w:rsidP="00F83E10">
      <w:pPr>
        <w:spacing w:line="240" w:lineRule="auto"/>
        <w:jc w:val="both"/>
        <w:rPr>
          <w:rFonts w:ascii="Times New Roman" w:eastAsia="Times New Roman" w:hAnsi="Times New Roman" w:cs="Times New Roman"/>
          <w:color w:val="000000"/>
          <w:sz w:val="28"/>
          <w:szCs w:val="28"/>
          <w:lang w:eastAsia="uk-UA"/>
        </w:rPr>
      </w:pPr>
      <w:r w:rsidRPr="00F83E10">
        <w:rPr>
          <w:rFonts w:ascii="Times New Roman" w:eastAsia="Times New Roman" w:hAnsi="Times New Roman" w:cs="Times New Roman"/>
          <w:noProof/>
          <w:color w:val="000000"/>
          <w:sz w:val="28"/>
          <w:szCs w:val="28"/>
          <w:lang w:eastAsia="uk-UA"/>
        </w:rPr>
        <mc:AlternateContent>
          <mc:Choice Requires="wps">
            <w:drawing>
              <wp:inline distT="0" distB="0" distL="0" distR="0" wp14:anchorId="3B5A9575" wp14:editId="1D24824C">
                <wp:extent cx="302260" cy="302260"/>
                <wp:effectExtent l="0" t="0" r="0" b="0"/>
                <wp:docPr id="6" name="AutoShape 7" descr="https://nazk.gov.ua/wp-content/uploads/Pages/47/95/47955076e759af87efb7268098986ee288fc8f7d12c95240e353b74a4398ff3f14806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https://nazk.gov.ua/wp-content/uploads/Pages/47/95/47955076e759af87efb7268098986ee288fc8f7d12c95240e353b74a4398ff3f148060.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" filled="f" stroked="f">
                <o:lock v:ext="edit" aspectratio="t"/>
                <w10:anchorlock/>
              </v:rect>
            </w:pict>
          </mc:Fallback>
        </mc:AlternateContent>
      </w:r>
    </w:p>
    <w:p w:rsidR="00F83E10" w:rsidRPr="00F83E10" w:rsidRDefault="00F83E10" w:rsidP="00F83E10">
      <w:pPr>
        <w:spacing w:line="240" w:lineRule="auto"/>
        <w:jc w:val="both"/>
        <w:rPr>
          <w:rFonts w:ascii="eUkraine" w:eastAsia="Times New Roman" w:hAnsi="eUkraine" w:cs="Times New Roman"/>
          <w:color w:val="000000"/>
          <w:sz w:val="20"/>
          <w:szCs w:val="20"/>
          <w:lang w:eastAsia="uk-UA"/>
        </w:rPr>
      </w:pPr>
      <w:r w:rsidRPr="00F83E10">
        <w:rPr>
          <w:rFonts w:ascii="eUkraine" w:eastAsia="Times New Roman" w:hAnsi="eUkraine" w:cs="Times New Roman"/>
          <w:noProof/>
          <w:color w:val="000000"/>
          <w:sz w:val="20"/>
          <w:szCs w:val="20"/>
          <w:lang w:eastAsia="uk-UA"/>
        </w:rPr>
        <mc:AlternateContent>
          <mc:Choice Requires="wps">
            <w:drawing>
              <wp:inline distT="0" distB="0" distL="0" distR="0" wp14:anchorId="1CA75A74" wp14:editId="5B45DA7F">
                <wp:extent cx="302260" cy="302260"/>
                <wp:effectExtent l="0" t="0" r="0" b="0"/>
                <wp:docPr id="5" name="AutoShape 8" descr="https://nazk.gov.ua/wp-content/uploads/Pages/52/e3/52e37a33205036cce4391a41f88126cdbb02737bc52fe189b2d337f73dd08ef222109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https://nazk.gov.ua/wp-content/uploads/Pages/52/e3/52e37a33205036cce4391a41f88126cdbb02737bc52fe189b2d337f73dd08ef2221098.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" filled="f" stroked="f">
                <o:lock v:ext="edit" aspectratio="t"/>
                <w10:anchorlock/>
              </v:rect>
            </w:pict>
          </mc:Fallback>
        </mc:AlternateContent>
      </w:r>
    </w:p>
    <w:p w:rsidR="00AA6AFA" w:rsidRDefault="00AA6AFA"/>
    <w:sectPr w:rsidR="00AA6A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eUkrain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E1F6A"/>
    <w:multiLevelType w:val="multilevel"/>
    <w:tmpl w:val="B8BEF3F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
    <w:nsid w:val="56DF6CA0"/>
    <w:multiLevelType w:val="multilevel"/>
    <w:tmpl w:val="044C3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0009BE"/>
    <w:multiLevelType w:val="multilevel"/>
    <w:tmpl w:val="D210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BA5557"/>
    <w:multiLevelType w:val="multilevel"/>
    <w:tmpl w:val="8000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8DE"/>
    <w:rsid w:val="00AA6AFA"/>
    <w:rsid w:val="00DF48DE"/>
    <w:rsid w:val="00F83E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135210">
      <w:bodyDiv w:val="1"/>
      <w:marLeft w:val="0"/>
      <w:marRight w:val="0"/>
      <w:marTop w:val="0"/>
      <w:marBottom w:val="0"/>
      <w:divBdr>
        <w:top w:val="none" w:sz="0" w:space="0" w:color="auto"/>
        <w:left w:val="none" w:sz="0" w:space="0" w:color="auto"/>
        <w:bottom w:val="none" w:sz="0" w:space="0" w:color="auto"/>
        <w:right w:val="none" w:sz="0" w:space="0" w:color="auto"/>
      </w:divBdr>
      <w:divsChild>
        <w:div w:id="1470249853">
          <w:marLeft w:val="0"/>
          <w:marRight w:val="0"/>
          <w:marTop w:val="150"/>
          <w:marBottom w:val="300"/>
          <w:divBdr>
            <w:top w:val="none" w:sz="0" w:space="0" w:color="auto"/>
            <w:left w:val="none" w:sz="0" w:space="0" w:color="auto"/>
            <w:bottom w:val="none" w:sz="0" w:space="0" w:color="auto"/>
            <w:right w:val="none" w:sz="0" w:space="0" w:color="auto"/>
          </w:divBdr>
          <w:divsChild>
            <w:div w:id="1969503793">
              <w:marLeft w:val="0"/>
              <w:marRight w:val="300"/>
              <w:marTop w:val="0"/>
              <w:marBottom w:val="0"/>
              <w:divBdr>
                <w:top w:val="none" w:sz="0" w:space="0" w:color="auto"/>
                <w:left w:val="none" w:sz="0" w:space="0" w:color="auto"/>
                <w:bottom w:val="none" w:sz="0" w:space="0" w:color="auto"/>
                <w:right w:val="none" w:sz="0" w:space="0" w:color="auto"/>
              </w:divBdr>
            </w:div>
            <w:div w:id="1795443739">
              <w:marLeft w:val="0"/>
              <w:marRight w:val="0"/>
              <w:marTop w:val="0"/>
              <w:marBottom w:val="0"/>
              <w:divBdr>
                <w:top w:val="none" w:sz="0" w:space="0" w:color="auto"/>
                <w:left w:val="none" w:sz="0" w:space="0" w:color="auto"/>
                <w:bottom w:val="none" w:sz="0" w:space="0" w:color="auto"/>
                <w:right w:val="none" w:sz="0" w:space="0" w:color="auto"/>
              </w:divBdr>
            </w:div>
          </w:divsChild>
        </w:div>
        <w:div w:id="1974403330">
          <w:marLeft w:val="0"/>
          <w:marRight w:val="0"/>
          <w:marTop w:val="0"/>
          <w:marBottom w:val="0"/>
          <w:divBdr>
            <w:top w:val="none" w:sz="0" w:space="0" w:color="auto"/>
            <w:left w:val="none" w:sz="0" w:space="0" w:color="auto"/>
            <w:bottom w:val="none" w:sz="0" w:space="0" w:color="auto"/>
            <w:right w:val="none" w:sz="0" w:space="0" w:color="auto"/>
          </w:divBdr>
          <w:divsChild>
            <w:div w:id="2045203475">
              <w:marLeft w:val="0"/>
              <w:marRight w:val="0"/>
              <w:marTop w:val="0"/>
              <w:marBottom w:val="0"/>
              <w:divBdr>
                <w:top w:val="none" w:sz="0" w:space="0" w:color="auto"/>
                <w:left w:val="none" w:sz="0" w:space="0" w:color="auto"/>
                <w:bottom w:val="none" w:sz="0" w:space="0" w:color="auto"/>
                <w:right w:val="none" w:sz="0" w:space="0" w:color="auto"/>
              </w:divBdr>
              <w:divsChild>
                <w:div w:id="1582906479">
                  <w:marLeft w:val="0"/>
                  <w:marRight w:val="0"/>
                  <w:marTop w:val="300"/>
                  <w:marBottom w:val="300"/>
                  <w:divBdr>
                    <w:top w:val="none" w:sz="0" w:space="0" w:color="auto"/>
                    <w:left w:val="none" w:sz="0" w:space="0" w:color="auto"/>
                    <w:bottom w:val="none" w:sz="0" w:space="0" w:color="auto"/>
                    <w:right w:val="none" w:sz="0" w:space="0" w:color="auto"/>
                  </w:divBdr>
                  <w:divsChild>
                    <w:div w:id="1443526851">
                      <w:marLeft w:val="0"/>
                      <w:marRight w:val="0"/>
                      <w:marTop w:val="0"/>
                      <w:marBottom w:val="750"/>
                      <w:divBdr>
                        <w:top w:val="none" w:sz="0" w:space="0" w:color="auto"/>
                        <w:left w:val="none" w:sz="0" w:space="0" w:color="auto"/>
                        <w:bottom w:val="none" w:sz="0" w:space="0" w:color="auto"/>
                        <w:right w:val="none" w:sz="0" w:space="0" w:color="auto"/>
                      </w:divBdr>
                    </w:div>
                    <w:div w:id="178869356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zk.gov.ua/uk/dani-dlya-deklaratsii-stosovno-chleniv-sim-i-vidteper-mozhna-otrymaty-za-dopomogoyu-zastosunku-diya-za-dekilka-klikiv-v-reestri-deklaratsiy/" TargetMode="External"/><Relationship Id="rId13" Type="http://schemas.openxmlformats.org/officeDocument/2006/relationships/hyperlink" Target="https://zakon.rada.gov.ua/laws/show/z0158-21" TargetMode="External"/><Relationship Id="rId3" Type="http://schemas.microsoft.com/office/2007/relationships/stylesWithEffects" Target="stylesWithEffects.xml"/><Relationship Id="rId7" Type="http://schemas.openxmlformats.org/officeDocument/2006/relationships/hyperlink" Target="https://public.nazk.gov.ua/" TargetMode="External"/><Relationship Id="rId12" Type="http://schemas.openxmlformats.org/officeDocument/2006/relationships/hyperlink" Target="https://zakon.rada.gov.ua/laws/show/1700-1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azk.gov.ua/uk/nazk-zminyue-pidhid-do-vidboru-ta-perevirok-deklaratsiy/" TargetMode="External"/><Relationship Id="rId11" Type="http://schemas.openxmlformats.org/officeDocument/2006/relationships/hyperlink" Target="https://zakon.rada.gov.ua/laws/show/z2146-23" TargetMode="External"/><Relationship Id="rId5" Type="http://schemas.openxmlformats.org/officeDocument/2006/relationships/webSettings" Target="webSettings.xml"/><Relationship Id="rId15" Type="http://schemas.openxmlformats.org/officeDocument/2006/relationships/hyperlink" Target="https://nazk.gov.ua/uk/category/povni-perevirky/" TargetMode="External"/><Relationship Id="rId10" Type="http://schemas.openxmlformats.org/officeDocument/2006/relationships/hyperlink" Target="https://nazk.gov.ua/uk/avtomatyzovana-perevirka-deklaratsii-detalne-roz-yasnennya/" TargetMode="External"/><Relationship Id="rId4" Type="http://schemas.openxmlformats.org/officeDocument/2006/relationships/settings" Target="settings.xml"/><Relationship Id="rId9" Type="http://schemas.openxmlformats.org/officeDocument/2006/relationships/hyperlink" Target="https://nazk.gov.ua/uk/novyny/novyy-pidhid-do-vidboru-ta-perevirok-deklaratsiy-yak-zdiysnyuetsya-logichnyy-ta-aryfmetychnyy-kontrol-deklaratsii/" TargetMode="External"/><Relationship Id="rId14" Type="http://schemas.openxmlformats.org/officeDocument/2006/relationships/hyperlink" Target="https://nazk.gov.ua/uk/povna-perevirka-deklaratsii-yak-rozrahovuetsya-rozmir-nedostovirnyh-vidomost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5614</Words>
  <Characters>3200</Characters>
  <Application>Microsoft Office Word</Application>
  <DocSecurity>0</DocSecurity>
  <Lines>26</Lines>
  <Paragraphs>17</Paragraphs>
  <ScaleCrop>false</ScaleCrop>
  <Company>SPecialiST RePack</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2024-05-07T06:04:00Z</dcterms:created>
  <dcterms:modified xsi:type="dcterms:W3CDTF">2024-05-07T06:09:00Z</dcterms:modified>
</cp:coreProperties>
</file>